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D" w:rsidRPr="001C0F9F" w:rsidRDefault="00167E95" w:rsidP="00823EAD">
      <w:pPr>
        <w:pStyle w:val="a3"/>
        <w:rPr>
          <w:rFonts w:ascii="Calibri" w:hAnsi="Calibri" w:cs="Calibri"/>
        </w:rPr>
      </w:pPr>
      <w:r>
        <w:rPr>
          <w:rFonts w:ascii="Calibri" w:hAnsi="Calibri" w:cs="Calibri"/>
          <w:noProof/>
        </w:rPr>
        <w:drawing>
          <wp:inline distT="0" distB="0" distL="0" distR="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rsidR="00823EAD" w:rsidRPr="001C0F9F" w:rsidRDefault="00823EAD" w:rsidP="00823EAD">
      <w:pPr>
        <w:pStyle w:val="a3"/>
        <w:rPr>
          <w:rFonts w:ascii="Calibri" w:hAnsi="Calibri" w:cs="Calibri"/>
          <w:b/>
          <w:sz w:val="22"/>
          <w:szCs w:val="22"/>
        </w:rPr>
      </w:pPr>
    </w:p>
    <w:p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rsidR="00823EAD" w:rsidRPr="009F22DF" w:rsidRDefault="005806DE" w:rsidP="00823EAD">
      <w:pPr>
        <w:pStyle w:val="Web"/>
        <w:shd w:val="clear" w:color="auto" w:fill="FFFFFF"/>
        <w:spacing w:before="0" w:beforeAutospacing="0" w:after="0" w:afterAutospacing="0"/>
        <w:jc w:val="right"/>
        <w:rPr>
          <w:rFonts w:ascii="Calibri" w:hAnsi="Calibri" w:cs="Calibri"/>
        </w:rPr>
      </w:pPr>
      <w:r>
        <w:rPr>
          <w:rFonts w:ascii="Calibri" w:hAnsi="Calibri" w:cs="Calibri"/>
        </w:rPr>
        <w:t>Αρκαλοχώρι,</w:t>
      </w:r>
      <w:r w:rsidR="00D80A8E">
        <w:rPr>
          <w:rFonts w:ascii="Calibri" w:hAnsi="Calibri" w:cs="Calibri"/>
        </w:rPr>
        <w:t xml:space="preserve"> </w:t>
      </w:r>
      <w:r w:rsidR="00737DF7" w:rsidRPr="00A94B73">
        <w:rPr>
          <w:rFonts w:ascii="Calibri" w:hAnsi="Calibri" w:cs="Calibri"/>
        </w:rPr>
        <w:t>25</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F31ABE">
        <w:rPr>
          <w:rFonts w:ascii="Calibri" w:hAnsi="Calibri" w:cs="Calibri"/>
        </w:rPr>
        <w:t>4</w:t>
      </w:r>
      <w:r>
        <w:rPr>
          <w:rFonts w:ascii="Calibri" w:hAnsi="Calibri" w:cs="Calibri"/>
        </w:rPr>
        <w:t>/202</w:t>
      </w:r>
      <w:r w:rsidR="00AF3A56">
        <w:rPr>
          <w:rFonts w:ascii="Calibri" w:hAnsi="Calibri" w:cs="Calibri"/>
        </w:rPr>
        <w:t>5</w:t>
      </w:r>
    </w:p>
    <w:p w:rsidR="00A94B73" w:rsidRDefault="00A94B73" w:rsidP="00FC2325">
      <w:pPr>
        <w:spacing w:after="0" w:line="240" w:lineRule="auto"/>
        <w:jc w:val="center"/>
        <w:rPr>
          <w:b/>
          <w:sz w:val="28"/>
        </w:rPr>
      </w:pPr>
    </w:p>
    <w:p w:rsidR="00A10652" w:rsidRPr="00C919BA" w:rsidRDefault="00C919BA" w:rsidP="00FC2325">
      <w:pPr>
        <w:spacing w:after="0" w:line="240" w:lineRule="auto"/>
        <w:jc w:val="center"/>
        <w:rPr>
          <w:b/>
          <w:sz w:val="28"/>
        </w:rPr>
      </w:pPr>
      <w:r>
        <w:rPr>
          <w:b/>
          <w:sz w:val="28"/>
        </w:rPr>
        <w:t>ΑΝΑΚΟΙΝΩΣΗ</w:t>
      </w:r>
    </w:p>
    <w:p w:rsidR="00F31ABE" w:rsidRDefault="00F31ABE" w:rsidP="00FC2325">
      <w:pPr>
        <w:spacing w:after="0" w:line="240" w:lineRule="auto"/>
        <w:jc w:val="center"/>
        <w:rPr>
          <w:b/>
          <w:sz w:val="28"/>
        </w:rPr>
      </w:pPr>
    </w:p>
    <w:p w:rsidR="00272ACF" w:rsidRDefault="00737DF7" w:rsidP="00C46745">
      <w:pPr>
        <w:spacing w:after="160" w:line="256" w:lineRule="auto"/>
        <w:jc w:val="both"/>
        <w:rPr>
          <w:rFonts w:eastAsia="Aptos" w:cs="Calibri"/>
          <w:b/>
          <w:bCs/>
          <w:color w:val="222222"/>
          <w:kern w:val="2"/>
          <w:shd w:val="clear" w:color="auto" w:fill="FFFFFF"/>
        </w:rPr>
      </w:pPr>
      <w:r>
        <w:rPr>
          <w:rFonts w:eastAsia="Aptos" w:cs="Calibri"/>
          <w:b/>
          <w:bCs/>
          <w:color w:val="222222"/>
          <w:kern w:val="2"/>
          <w:shd w:val="clear" w:color="auto" w:fill="FFFFFF"/>
        </w:rPr>
        <w:t xml:space="preserve">Πρόσκληση για διάθεση θέσεων Μαθητείας στο </w:t>
      </w:r>
      <w:proofErr w:type="spellStart"/>
      <w:r>
        <w:rPr>
          <w:rFonts w:eastAsia="Aptos" w:cs="Calibri"/>
          <w:b/>
          <w:bCs/>
          <w:color w:val="222222"/>
          <w:kern w:val="2"/>
          <w:shd w:val="clear" w:color="auto" w:fill="FFFFFF"/>
        </w:rPr>
        <w:t>Μεταλυκειακό</w:t>
      </w:r>
      <w:proofErr w:type="spellEnd"/>
      <w:r>
        <w:rPr>
          <w:rFonts w:eastAsia="Aptos" w:cs="Calibri"/>
          <w:b/>
          <w:bCs/>
          <w:color w:val="222222"/>
          <w:kern w:val="2"/>
          <w:shd w:val="clear" w:color="auto" w:fill="FFFFFF"/>
        </w:rPr>
        <w:t xml:space="preserve"> Έτος – Τάξη Μαθητείας αποφοίτων ΕΠΑ.Λ. από </w:t>
      </w:r>
      <w:r w:rsidR="00A94B73">
        <w:rPr>
          <w:rFonts w:eastAsia="Aptos" w:cs="Calibri"/>
          <w:b/>
          <w:bCs/>
          <w:color w:val="222222"/>
          <w:kern w:val="2"/>
          <w:shd w:val="clear" w:color="auto" w:fill="FFFFFF"/>
        </w:rPr>
        <w:t>τον Δήμο Μινώα Πεδιάδας</w:t>
      </w:r>
    </w:p>
    <w:p w:rsidR="00737DF7" w:rsidRDefault="00737DF7" w:rsidP="00C46745">
      <w:pPr>
        <w:spacing w:after="160" w:line="256" w:lineRule="auto"/>
        <w:jc w:val="both"/>
        <w:rPr>
          <w:rFonts w:eastAsia="Aptos" w:cs="Calibri"/>
          <w:b/>
          <w:bCs/>
          <w:color w:val="222222"/>
          <w:kern w:val="2"/>
          <w:shd w:val="clear" w:color="auto" w:fill="FFFFFF"/>
        </w:rPr>
      </w:pPr>
    </w:p>
    <w:p w:rsidR="00C8133B" w:rsidRPr="00DD5DB2" w:rsidRDefault="00737DF7" w:rsidP="00C46745">
      <w:pPr>
        <w:spacing w:after="160" w:line="256" w:lineRule="auto"/>
        <w:jc w:val="both"/>
        <w:rPr>
          <w:rFonts w:eastAsia="Aptos" w:cs="Calibri"/>
          <w:bCs/>
          <w:color w:val="222222"/>
          <w:kern w:val="2"/>
          <w:shd w:val="clear" w:color="auto" w:fill="FFFFFF"/>
        </w:rPr>
      </w:pPr>
      <w:r w:rsidRPr="00DD5DB2">
        <w:rPr>
          <w:rFonts w:eastAsia="Aptos" w:cs="Calibri"/>
          <w:bCs/>
          <w:color w:val="222222"/>
          <w:kern w:val="2"/>
          <w:shd w:val="clear" w:color="auto" w:fill="FFFFFF"/>
        </w:rPr>
        <w:t xml:space="preserve">Η επαγγελματική εκπαίδευση και κατάρτιση αποτελεί έναν σημαντικό πυλώνα για την ανάπτυξη των επαγγελματικών δεξιοτήτων και τη διευκόλυνση της ενσωμάτωσης των αποφοίτων στην αγορά εργασίας. Με το </w:t>
      </w:r>
      <w:proofErr w:type="spellStart"/>
      <w:r w:rsidRPr="00DD5DB2">
        <w:rPr>
          <w:rFonts w:eastAsia="Aptos" w:cs="Calibri"/>
          <w:bCs/>
          <w:color w:val="222222"/>
          <w:kern w:val="2"/>
          <w:shd w:val="clear" w:color="auto" w:fill="FFFFFF"/>
        </w:rPr>
        <w:t>Μεταλυκειακό</w:t>
      </w:r>
      <w:proofErr w:type="spellEnd"/>
      <w:r w:rsidR="00A94B73">
        <w:rPr>
          <w:rFonts w:eastAsia="Aptos" w:cs="Calibri"/>
          <w:bCs/>
          <w:color w:val="222222"/>
          <w:kern w:val="2"/>
          <w:shd w:val="clear" w:color="auto" w:fill="FFFFFF"/>
        </w:rPr>
        <w:t xml:space="preserve"> </w:t>
      </w:r>
      <w:r w:rsidRPr="00DD5DB2">
        <w:rPr>
          <w:rFonts w:eastAsia="Aptos" w:cs="Calibri"/>
          <w:bCs/>
          <w:color w:val="222222"/>
          <w:kern w:val="2"/>
          <w:shd w:val="clear" w:color="auto" w:fill="FFFFFF"/>
        </w:rPr>
        <w:t xml:space="preserve"> Έτος – Τάξη </w:t>
      </w:r>
      <w:r w:rsidR="00C8133B" w:rsidRPr="00DD5DB2">
        <w:rPr>
          <w:rFonts w:eastAsia="Aptos" w:cs="Calibri"/>
          <w:bCs/>
          <w:color w:val="222222"/>
          <w:kern w:val="2"/>
          <w:shd w:val="clear" w:color="auto" w:fill="FFFFFF"/>
        </w:rPr>
        <w:t xml:space="preserve">Μαθητείας αποφοίτων ΕΠΑ.Λ., το Υπουργείο Παιδείας, Θρησκευμάτων και Αθλητισμού υποστηρίζει την αναβάθμιση των προσόντων των αποφοίτων, προσφέροντας μια μαθησιακή διαδρομή που ενισχύει τις υπάρχουσες γνώσεις και δεξιότητες τους και συμβάλλει στην ομαλή ένταξη τους στην αγορά εργασίας μέσω της απόκτησης πολύτιμης εργασιακής εμπειρίας. </w:t>
      </w:r>
    </w:p>
    <w:p w:rsidR="00DD5DB2" w:rsidRPr="00DD5DB2" w:rsidRDefault="00C8133B" w:rsidP="00C46745">
      <w:pPr>
        <w:spacing w:after="160" w:line="256" w:lineRule="auto"/>
        <w:jc w:val="both"/>
        <w:rPr>
          <w:rFonts w:eastAsia="Aptos" w:cs="Calibri"/>
          <w:bCs/>
          <w:color w:val="222222"/>
          <w:kern w:val="2"/>
          <w:shd w:val="clear" w:color="auto" w:fill="FFFFFF"/>
        </w:rPr>
      </w:pPr>
      <w:r w:rsidRPr="00DD5DB2">
        <w:rPr>
          <w:rFonts w:eastAsia="Aptos" w:cs="Calibri"/>
          <w:bCs/>
          <w:color w:val="222222"/>
          <w:kern w:val="2"/>
          <w:shd w:val="clear" w:color="auto" w:fill="FFFFFF"/>
        </w:rPr>
        <w:t xml:space="preserve">Κατά την διάρκεια του </w:t>
      </w:r>
      <w:proofErr w:type="spellStart"/>
      <w:r w:rsidRPr="00DD5DB2">
        <w:rPr>
          <w:rFonts w:eastAsia="Aptos" w:cs="Calibri"/>
          <w:bCs/>
          <w:color w:val="222222"/>
          <w:kern w:val="2"/>
          <w:shd w:val="clear" w:color="auto" w:fill="FFFFFF"/>
        </w:rPr>
        <w:t>Μεταλυκειακού</w:t>
      </w:r>
      <w:proofErr w:type="spellEnd"/>
      <w:r w:rsidRPr="00DD5DB2">
        <w:rPr>
          <w:rFonts w:eastAsia="Aptos" w:cs="Calibri"/>
          <w:bCs/>
          <w:color w:val="222222"/>
          <w:kern w:val="2"/>
          <w:shd w:val="clear" w:color="auto" w:fill="FFFFFF"/>
        </w:rPr>
        <w:t xml:space="preserve"> Έτους – Τάξη Μαθητείας αποφοίτων ΕΠΑ.Λ., οι μαθητευόμενοι συνδυάζουν την εκπαίδευση στον εργασιακό χώρο με το πρόγραμμα μάθησης στην εκπαιδευτική δομή και οδηγούνται στην πιστοποίηση των γνώσεων τους μετά από εξετάσεις σε συγκεκριμένη ειδικότητα. Ο θεσμός </w:t>
      </w:r>
      <w:r w:rsidR="00DD5DB2" w:rsidRPr="00DD5DB2">
        <w:rPr>
          <w:rFonts w:eastAsia="Aptos" w:cs="Calibri"/>
          <w:bCs/>
          <w:color w:val="222222"/>
          <w:kern w:val="2"/>
          <w:shd w:val="clear" w:color="auto" w:fill="FFFFFF"/>
        </w:rPr>
        <w:t>της Μαθητείας αποτελεί ένα σημαντικό εργαλείο για την επιτυχή ένταξη των νέων στην αγορά εργασίας και έχει μεγάλη απήχηση στους φορείς τόσο του ιδιωτικού όσο και του δημοσίου τομέα.</w:t>
      </w:r>
    </w:p>
    <w:p w:rsidR="00DD5DB2" w:rsidRPr="00DD5DB2" w:rsidRDefault="00DD5DB2" w:rsidP="00C46745">
      <w:pPr>
        <w:spacing w:after="160" w:line="256" w:lineRule="auto"/>
        <w:jc w:val="both"/>
        <w:rPr>
          <w:rFonts w:eastAsia="Aptos" w:cs="Calibri"/>
          <w:bCs/>
          <w:color w:val="222222"/>
          <w:kern w:val="2"/>
          <w:shd w:val="clear" w:color="auto" w:fill="FFFFFF"/>
        </w:rPr>
      </w:pPr>
      <w:r w:rsidRPr="00DD5DB2">
        <w:rPr>
          <w:rFonts w:eastAsia="Aptos" w:cs="Calibri"/>
          <w:bCs/>
          <w:color w:val="222222"/>
          <w:kern w:val="2"/>
          <w:shd w:val="clear" w:color="auto" w:fill="FFFFFF"/>
        </w:rPr>
        <w:t xml:space="preserve">Κατά την περίοδο 2025-2026, το Υπουργείο Παιδείας, Θρησκευμάτων και Αθλητισμού θα υλοποιήσει το </w:t>
      </w:r>
      <w:proofErr w:type="spellStart"/>
      <w:r w:rsidRPr="00DD5DB2">
        <w:rPr>
          <w:rFonts w:eastAsia="Aptos" w:cs="Calibri"/>
          <w:bCs/>
          <w:color w:val="222222"/>
          <w:kern w:val="2"/>
          <w:shd w:val="clear" w:color="auto" w:fill="FFFFFF"/>
        </w:rPr>
        <w:t>Μεταλυκειακό</w:t>
      </w:r>
      <w:proofErr w:type="spellEnd"/>
      <w:r w:rsidRPr="00DD5DB2">
        <w:rPr>
          <w:rFonts w:eastAsia="Aptos" w:cs="Calibri"/>
          <w:bCs/>
          <w:color w:val="222222"/>
          <w:kern w:val="2"/>
          <w:shd w:val="clear" w:color="auto" w:fill="FFFFFF"/>
        </w:rPr>
        <w:t xml:space="preserve"> έτος – Τάξη Μαθητείας αποφοίτων ΕΠΑ.Λ. στις ειδικότητες που παρουσιάζονται </w:t>
      </w:r>
      <w:r w:rsidR="00A94B73">
        <w:rPr>
          <w:rFonts w:eastAsia="Aptos" w:cs="Calibri"/>
          <w:bCs/>
          <w:color w:val="222222"/>
          <w:kern w:val="2"/>
          <w:shd w:val="clear" w:color="auto" w:fill="FFFFFF"/>
        </w:rPr>
        <w:t>στον παρακάτω πίνακα</w:t>
      </w:r>
      <w:r w:rsidRPr="00DD5DB2">
        <w:rPr>
          <w:rFonts w:eastAsia="Aptos" w:cs="Calibri"/>
          <w:bCs/>
          <w:color w:val="222222"/>
          <w:kern w:val="2"/>
          <w:shd w:val="clear" w:color="auto" w:fill="FFFFFF"/>
        </w:rPr>
        <w:t>.</w:t>
      </w:r>
    </w:p>
    <w:p w:rsidR="00CA0C54" w:rsidRDefault="00CA0C54" w:rsidP="00DD5DB2">
      <w:pPr>
        <w:spacing w:after="160" w:line="256" w:lineRule="auto"/>
        <w:jc w:val="both"/>
        <w:rPr>
          <w:rFonts w:eastAsia="Aptos" w:cs="Calibri"/>
          <w:bCs/>
          <w:color w:val="222222"/>
          <w:kern w:val="2"/>
          <w:shd w:val="clear" w:color="auto" w:fill="FFFFFF"/>
        </w:rPr>
      </w:pPr>
    </w:p>
    <w:p w:rsidR="00CA0C54" w:rsidRDefault="00CA0C54" w:rsidP="00DD5DB2">
      <w:pPr>
        <w:spacing w:after="160" w:line="256" w:lineRule="auto"/>
        <w:jc w:val="both"/>
        <w:rPr>
          <w:rFonts w:eastAsia="Aptos" w:cs="Calibri"/>
          <w:bCs/>
          <w:color w:val="222222"/>
          <w:kern w:val="2"/>
          <w:shd w:val="clear" w:color="auto" w:fill="FFFFFF"/>
        </w:rPr>
      </w:pPr>
    </w:p>
    <w:tbl>
      <w:tblPr>
        <w:tblStyle w:val="a7"/>
        <w:tblW w:w="0" w:type="auto"/>
        <w:tblLook w:val="04A0"/>
      </w:tblPr>
      <w:tblGrid>
        <w:gridCol w:w="534"/>
        <w:gridCol w:w="7988"/>
      </w:tblGrid>
      <w:tr w:rsidR="00A94B73" w:rsidTr="00CD30E6">
        <w:tc>
          <w:tcPr>
            <w:tcW w:w="8522" w:type="dxa"/>
            <w:gridSpan w:val="2"/>
          </w:tcPr>
          <w:p w:rsidR="00A94B73" w:rsidRDefault="00A94B73" w:rsidP="00A94B73">
            <w:pPr>
              <w:tabs>
                <w:tab w:val="left" w:pos="2310"/>
              </w:tabs>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 xml:space="preserve">Ειδικότητες </w:t>
            </w:r>
            <w:proofErr w:type="spellStart"/>
            <w:r w:rsidRPr="00DD5DB2">
              <w:rPr>
                <w:rFonts w:eastAsia="Aptos" w:cs="Calibri"/>
                <w:bCs/>
                <w:color w:val="222222"/>
                <w:kern w:val="2"/>
                <w:shd w:val="clear" w:color="auto" w:fill="FFFFFF"/>
              </w:rPr>
              <w:t>Μεταλυκειακού</w:t>
            </w:r>
            <w:proofErr w:type="spellEnd"/>
            <w:r w:rsidRPr="00DD5DB2">
              <w:rPr>
                <w:rFonts w:eastAsia="Aptos" w:cs="Calibri"/>
                <w:bCs/>
                <w:color w:val="222222"/>
                <w:kern w:val="2"/>
                <w:shd w:val="clear" w:color="auto" w:fill="FFFFFF"/>
              </w:rPr>
              <w:t xml:space="preserve"> Έτους – Τάξη Μαθητείας</w:t>
            </w:r>
            <w:r>
              <w:rPr>
                <w:rFonts w:eastAsia="Aptos" w:cs="Calibri"/>
                <w:bCs/>
                <w:color w:val="222222"/>
                <w:kern w:val="2"/>
                <w:shd w:val="clear" w:color="auto" w:fill="FFFFFF"/>
              </w:rPr>
              <w:t xml:space="preserve"> ΕΠΑ.Λ.</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1</w:t>
            </w:r>
          </w:p>
        </w:tc>
        <w:tc>
          <w:tcPr>
            <w:tcW w:w="7988" w:type="dxa"/>
          </w:tcPr>
          <w:p w:rsidR="00CA0C54" w:rsidRDefault="00CA0C54" w:rsidP="00DD5DB2">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Αισθητικής Τέχνης</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2</w:t>
            </w:r>
          </w:p>
        </w:tc>
        <w:tc>
          <w:tcPr>
            <w:tcW w:w="7988" w:type="dxa"/>
          </w:tcPr>
          <w:p w:rsidR="00CA0C54" w:rsidRDefault="00CA0C54" w:rsidP="00DD5DB2">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Βοηθός Βρεφονηπιοκόμων</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3</w:t>
            </w:r>
          </w:p>
        </w:tc>
        <w:tc>
          <w:tcPr>
            <w:tcW w:w="7988" w:type="dxa"/>
          </w:tcPr>
          <w:p w:rsidR="00CA0C54" w:rsidRDefault="00CA0C54" w:rsidP="00DD5DB2">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Βοηθός Ιατρικών – Βιολογικών Εργαστηρίων</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4</w:t>
            </w:r>
          </w:p>
        </w:tc>
        <w:tc>
          <w:tcPr>
            <w:tcW w:w="7988" w:type="dxa"/>
          </w:tcPr>
          <w:p w:rsidR="00CA0C54" w:rsidRDefault="00CA0C54" w:rsidP="00DD5DB2">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Βοηθός Νοσηλευτή</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5</w:t>
            </w:r>
          </w:p>
        </w:tc>
        <w:tc>
          <w:tcPr>
            <w:tcW w:w="7988" w:type="dxa"/>
          </w:tcPr>
          <w:p w:rsidR="00CA0C54" w:rsidRDefault="00CA0C54" w:rsidP="00DD5DB2">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Βοηθός Οδοντοτεχνίτη</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6</w:t>
            </w:r>
          </w:p>
        </w:tc>
        <w:tc>
          <w:tcPr>
            <w:tcW w:w="7988" w:type="dxa"/>
          </w:tcPr>
          <w:p w:rsidR="00CA0C54" w:rsidRDefault="00CA0C54" w:rsidP="00DD5DB2">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Βοηθός Φαρμακείου</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lastRenderedPageBreak/>
              <w:t>7</w:t>
            </w:r>
          </w:p>
        </w:tc>
        <w:tc>
          <w:tcPr>
            <w:tcW w:w="7988" w:type="dxa"/>
          </w:tcPr>
          <w:p w:rsidR="00CA0C54" w:rsidRDefault="00CA0C54" w:rsidP="00DD5DB2">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Βοηθός Φυσικοθεραπευτή</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8</w:t>
            </w:r>
          </w:p>
        </w:tc>
        <w:tc>
          <w:tcPr>
            <w:tcW w:w="7988" w:type="dxa"/>
          </w:tcPr>
          <w:p w:rsidR="00CA0C54" w:rsidRDefault="00CA0C54" w:rsidP="00DD5DB2">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 xml:space="preserve">Γραφικών Τεχνών </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9</w:t>
            </w:r>
          </w:p>
        </w:tc>
        <w:tc>
          <w:tcPr>
            <w:tcW w:w="7988" w:type="dxa"/>
          </w:tcPr>
          <w:p w:rsidR="00CA0C54" w:rsidRDefault="00CA0C54" w:rsidP="00DD5DB2">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Κομμωτικής Τέχνης</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10</w:t>
            </w:r>
          </w:p>
        </w:tc>
        <w:tc>
          <w:tcPr>
            <w:tcW w:w="7988" w:type="dxa"/>
          </w:tcPr>
          <w:p w:rsidR="00CA0C54" w:rsidRDefault="00CA0C54" w:rsidP="000A24E8">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Τεχνικός Ανθοκομίας και Αρχιτεκτονικής Τοπίου</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11</w:t>
            </w:r>
          </w:p>
        </w:tc>
        <w:tc>
          <w:tcPr>
            <w:tcW w:w="7988" w:type="dxa"/>
          </w:tcPr>
          <w:p w:rsidR="00CA0C54" w:rsidRDefault="00CA0C54" w:rsidP="000A24E8">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 xml:space="preserve">Τεχνικός Δομικών Έργων και </w:t>
            </w:r>
            <w:proofErr w:type="spellStart"/>
            <w:r>
              <w:rPr>
                <w:rFonts w:eastAsia="Aptos" w:cs="Calibri"/>
                <w:color w:val="222222"/>
                <w:kern w:val="2"/>
                <w:shd w:val="clear" w:color="auto" w:fill="FFFFFF"/>
              </w:rPr>
              <w:t>Γεωπληροφορικής</w:t>
            </w:r>
            <w:proofErr w:type="spellEnd"/>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12</w:t>
            </w:r>
          </w:p>
        </w:tc>
        <w:tc>
          <w:tcPr>
            <w:tcW w:w="7988" w:type="dxa"/>
          </w:tcPr>
          <w:p w:rsidR="00CA0C54" w:rsidRDefault="00CA0C54" w:rsidP="000A24E8">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Τεχνικός Εγκαταστάσεων Ψύξης, Αερισμού και Κλιματισμού</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13</w:t>
            </w:r>
          </w:p>
        </w:tc>
        <w:tc>
          <w:tcPr>
            <w:tcW w:w="7988" w:type="dxa"/>
          </w:tcPr>
          <w:p w:rsidR="00CA0C54" w:rsidRDefault="00CA0C54" w:rsidP="000A24E8">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Τεχνικός Εφαρμογών Πληροφορικής</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14</w:t>
            </w:r>
          </w:p>
        </w:tc>
        <w:tc>
          <w:tcPr>
            <w:tcW w:w="7988" w:type="dxa"/>
          </w:tcPr>
          <w:p w:rsidR="00CA0C54" w:rsidRDefault="00CA0C54" w:rsidP="000A24E8">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Τεχνικός Η/Υ και Δικτύων Η/Υ</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15</w:t>
            </w:r>
          </w:p>
        </w:tc>
        <w:tc>
          <w:tcPr>
            <w:tcW w:w="7988" w:type="dxa"/>
          </w:tcPr>
          <w:p w:rsidR="00CA0C54" w:rsidRDefault="00CA0C54" w:rsidP="00CA0C54">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Τεχνικός Ηλεκτρολογικών Συστημάτων, Εγκαταστάσεων και Δικτύων</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16</w:t>
            </w:r>
          </w:p>
        </w:tc>
        <w:tc>
          <w:tcPr>
            <w:tcW w:w="7988" w:type="dxa"/>
          </w:tcPr>
          <w:p w:rsidR="00CA0C54" w:rsidRDefault="00CA0C54" w:rsidP="000A24E8">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Τεχνικός Ηλεκτρονικών και Υπολογιστικών Συστημάτων, Εγκαταστάσεων, Δικτύων και Τηλεπικοινωνιών</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17</w:t>
            </w:r>
          </w:p>
        </w:tc>
        <w:tc>
          <w:tcPr>
            <w:tcW w:w="7988" w:type="dxa"/>
          </w:tcPr>
          <w:p w:rsidR="00CA0C54" w:rsidRDefault="00CA0C54" w:rsidP="000A24E8">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Τεχνικός Μηχανολογικών Εγκαταστάσεων και Κατασκευών</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18</w:t>
            </w:r>
          </w:p>
        </w:tc>
        <w:tc>
          <w:tcPr>
            <w:tcW w:w="7988" w:type="dxa"/>
          </w:tcPr>
          <w:p w:rsidR="00CA0C54" w:rsidRDefault="00CA0C54" w:rsidP="000A24E8">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Τεχνικός Οχημάτων</w:t>
            </w:r>
          </w:p>
        </w:tc>
      </w:tr>
      <w:tr w:rsidR="00CA0C54" w:rsidTr="00CA0C54">
        <w:tc>
          <w:tcPr>
            <w:tcW w:w="534" w:type="dxa"/>
          </w:tcPr>
          <w:p w:rsidR="00CA0C54" w:rsidRDefault="00CA0C54" w:rsidP="00CA0C54">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19</w:t>
            </w:r>
          </w:p>
        </w:tc>
        <w:tc>
          <w:tcPr>
            <w:tcW w:w="7988" w:type="dxa"/>
          </w:tcPr>
          <w:p w:rsidR="00CA0C54" w:rsidRDefault="00CA0C54" w:rsidP="000A24E8">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Τεχνικός Τεχνολογίας Τροφίμων και Ποτών</w:t>
            </w:r>
          </w:p>
        </w:tc>
      </w:tr>
      <w:tr w:rsidR="00CA0C54" w:rsidTr="00CA0C54">
        <w:tc>
          <w:tcPr>
            <w:tcW w:w="534" w:type="dxa"/>
          </w:tcPr>
          <w:p w:rsidR="00CA0C54" w:rsidRDefault="00CA0C54" w:rsidP="000A24E8">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20</w:t>
            </w:r>
          </w:p>
        </w:tc>
        <w:tc>
          <w:tcPr>
            <w:tcW w:w="7988" w:type="dxa"/>
          </w:tcPr>
          <w:p w:rsidR="00CA0C54" w:rsidRDefault="00CA0C54" w:rsidP="000A24E8">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Τεχνικός Φυτικής Παραγωγής</w:t>
            </w:r>
          </w:p>
        </w:tc>
      </w:tr>
      <w:tr w:rsidR="00CA0C54" w:rsidTr="00CA0C54">
        <w:tc>
          <w:tcPr>
            <w:tcW w:w="534" w:type="dxa"/>
          </w:tcPr>
          <w:p w:rsidR="00CA0C54" w:rsidRDefault="00CA0C54" w:rsidP="000A24E8">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21</w:t>
            </w:r>
          </w:p>
        </w:tc>
        <w:tc>
          <w:tcPr>
            <w:tcW w:w="7988" w:type="dxa"/>
          </w:tcPr>
          <w:p w:rsidR="00CA0C54" w:rsidRPr="00CA0C54" w:rsidRDefault="00CA0C54" w:rsidP="00CA0C54">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Υπάλληλος Αποθήκης και Συστημάτων Εφοδιασμού (</w:t>
            </w:r>
            <w:r>
              <w:rPr>
                <w:rFonts w:eastAsia="Aptos" w:cs="Calibri"/>
                <w:color w:val="222222"/>
                <w:kern w:val="2"/>
                <w:shd w:val="clear" w:color="auto" w:fill="FFFFFF"/>
                <w:lang w:val="en-US"/>
              </w:rPr>
              <w:t>logistics</w:t>
            </w:r>
            <w:r w:rsidRPr="00CA0C54">
              <w:rPr>
                <w:rFonts w:eastAsia="Aptos" w:cs="Calibri"/>
                <w:color w:val="222222"/>
                <w:kern w:val="2"/>
                <w:shd w:val="clear" w:color="auto" w:fill="FFFFFF"/>
              </w:rPr>
              <w:t>)</w:t>
            </w:r>
          </w:p>
        </w:tc>
      </w:tr>
      <w:tr w:rsidR="00CA0C54" w:rsidTr="00CA0C54">
        <w:tc>
          <w:tcPr>
            <w:tcW w:w="534" w:type="dxa"/>
          </w:tcPr>
          <w:p w:rsidR="00CA0C54" w:rsidRDefault="00CA0C54" w:rsidP="000A24E8">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22</w:t>
            </w:r>
          </w:p>
        </w:tc>
        <w:tc>
          <w:tcPr>
            <w:tcW w:w="7988" w:type="dxa"/>
          </w:tcPr>
          <w:p w:rsidR="00CA0C54" w:rsidRDefault="00CA0C54" w:rsidP="000A24E8">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 xml:space="preserve">Υπάλληλος Διοίκησης και Οικονομικών Υπηρεσιών </w:t>
            </w:r>
          </w:p>
        </w:tc>
      </w:tr>
      <w:tr w:rsidR="00CA0C54" w:rsidTr="00CA0C54">
        <w:tc>
          <w:tcPr>
            <w:tcW w:w="534" w:type="dxa"/>
          </w:tcPr>
          <w:p w:rsidR="00CA0C54" w:rsidRDefault="00CA0C54" w:rsidP="000A24E8">
            <w:pPr>
              <w:spacing w:after="160" w:line="256" w:lineRule="auto"/>
              <w:jc w:val="center"/>
              <w:rPr>
                <w:rFonts w:eastAsia="Aptos" w:cs="Calibri"/>
                <w:color w:val="222222"/>
                <w:kern w:val="2"/>
                <w:shd w:val="clear" w:color="auto" w:fill="FFFFFF"/>
              </w:rPr>
            </w:pPr>
            <w:r>
              <w:rPr>
                <w:rFonts w:eastAsia="Aptos" w:cs="Calibri"/>
                <w:color w:val="222222"/>
                <w:kern w:val="2"/>
                <w:shd w:val="clear" w:color="auto" w:fill="FFFFFF"/>
              </w:rPr>
              <w:t>23</w:t>
            </w:r>
          </w:p>
        </w:tc>
        <w:tc>
          <w:tcPr>
            <w:tcW w:w="7988" w:type="dxa"/>
          </w:tcPr>
          <w:p w:rsidR="00CA0C54" w:rsidRDefault="00CA0C54" w:rsidP="000A24E8">
            <w:pPr>
              <w:spacing w:after="160" w:line="256" w:lineRule="auto"/>
              <w:jc w:val="both"/>
              <w:rPr>
                <w:rFonts w:eastAsia="Aptos" w:cs="Calibri"/>
                <w:color w:val="222222"/>
                <w:kern w:val="2"/>
                <w:shd w:val="clear" w:color="auto" w:fill="FFFFFF"/>
              </w:rPr>
            </w:pPr>
            <w:r>
              <w:rPr>
                <w:rFonts w:eastAsia="Aptos" w:cs="Calibri"/>
                <w:color w:val="222222"/>
                <w:kern w:val="2"/>
                <w:shd w:val="clear" w:color="auto" w:fill="FFFFFF"/>
              </w:rPr>
              <w:t>Υπάλληλος Τουριστικών Επιχειρήσεων</w:t>
            </w:r>
          </w:p>
        </w:tc>
      </w:tr>
    </w:tbl>
    <w:p w:rsidR="00DD5DB2" w:rsidRDefault="00DD5DB2" w:rsidP="00DD5DB2">
      <w:pPr>
        <w:spacing w:after="160" w:line="256" w:lineRule="auto"/>
        <w:jc w:val="both"/>
        <w:rPr>
          <w:rFonts w:eastAsia="Aptos" w:cs="Calibri"/>
          <w:color w:val="222222"/>
          <w:kern w:val="2"/>
          <w:shd w:val="clear" w:color="auto" w:fill="FFFFFF"/>
        </w:rPr>
      </w:pPr>
    </w:p>
    <w:p w:rsidR="00A94B73" w:rsidRDefault="00A94B73" w:rsidP="00DD5DB2">
      <w:pPr>
        <w:spacing w:after="160" w:line="256" w:lineRule="auto"/>
        <w:jc w:val="both"/>
        <w:rPr>
          <w:rFonts w:eastAsia="Aptos" w:cs="Calibri"/>
          <w:color w:val="222222"/>
          <w:kern w:val="2"/>
          <w:shd w:val="clear" w:color="auto" w:fill="FFFFFF"/>
        </w:rPr>
      </w:pPr>
    </w:p>
    <w:p w:rsidR="00A94B73" w:rsidRPr="00336F4C" w:rsidRDefault="00336F4C" w:rsidP="00336F4C">
      <w:pPr>
        <w:spacing w:after="160" w:line="256" w:lineRule="auto"/>
        <w:jc w:val="both"/>
        <w:rPr>
          <w:rFonts w:asciiTheme="minorHAnsi" w:eastAsia="Aptos" w:hAnsiTheme="minorHAnsi" w:cstheme="minorHAnsi"/>
          <w:color w:val="222222"/>
          <w:kern w:val="2"/>
          <w:shd w:val="clear" w:color="auto" w:fill="FFFFFF"/>
        </w:rPr>
      </w:pPr>
      <w:r w:rsidRPr="00336F4C">
        <w:rPr>
          <w:rFonts w:asciiTheme="minorHAnsi" w:hAnsiTheme="minorHAnsi" w:cstheme="minorHAnsi"/>
          <w:color w:val="2C363A"/>
          <w:shd w:val="clear" w:color="auto" w:fill="FFFFFF"/>
        </w:rPr>
        <w:t>Παρακαλούνται όσοι ενδιαφέρονται να απασχοληθούν στο Δήμο Μινώα Πεδιάδας και διαθέτουν τις παραπάνω ειδικότητες, όπως επικοινωνήσουν στο τηλέφωνο 28913-40335 προκειμένου να εκδηλώσουν το ενδιαφέρον και την ειδικότητα τους.  </w:t>
      </w:r>
    </w:p>
    <w:sectPr w:rsidR="00A94B73" w:rsidRPr="00336F4C" w:rsidSect="00A34C0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E57" w:rsidRDefault="00B13E57" w:rsidP="00823EAD">
      <w:pPr>
        <w:spacing w:after="0" w:line="240" w:lineRule="auto"/>
      </w:pPr>
      <w:r>
        <w:separator/>
      </w:r>
    </w:p>
  </w:endnote>
  <w:endnote w:type="continuationSeparator" w:id="0">
    <w:p w:rsidR="00B13E57" w:rsidRDefault="00B13E57" w:rsidP="00823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rsidR="00823EAD" w:rsidRDefault="00823EA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E57" w:rsidRDefault="00B13E57" w:rsidP="00823EAD">
      <w:pPr>
        <w:spacing w:after="0" w:line="240" w:lineRule="auto"/>
      </w:pPr>
      <w:r>
        <w:separator/>
      </w:r>
    </w:p>
  </w:footnote>
  <w:footnote w:type="continuationSeparator" w:id="0">
    <w:p w:rsidR="00B13E57" w:rsidRDefault="00B13E57" w:rsidP="00823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360B8"/>
    <w:multiLevelType w:val="hybridMultilevel"/>
    <w:tmpl w:val="7102B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815AA9"/>
    <w:multiLevelType w:val="hybridMultilevel"/>
    <w:tmpl w:val="9FD05B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D767370"/>
    <w:multiLevelType w:val="multilevel"/>
    <w:tmpl w:val="F758AB9E"/>
    <w:lvl w:ilvl="0">
      <w:start w:val="1"/>
      <w:numFmt w:val="decimal"/>
      <w:lvlText w:val="%1."/>
      <w:lvlJc w:val="left"/>
      <w:pPr>
        <w:ind w:left="720" w:hanging="360"/>
      </w:pPr>
      <w:rPr>
        <w:rFonts w:hint="default"/>
      </w:rPr>
    </w:lvl>
    <w:lvl w:ilvl="1">
      <w:start w:val="1"/>
      <w:numFmt w:val="decimal"/>
      <w:isLgl/>
      <w:lvlText w:val="%1.%2"/>
      <w:lvlJc w:val="left"/>
      <w:pPr>
        <w:ind w:left="1090" w:hanging="3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73165122"/>
    <w:multiLevelType w:val="hybridMultilevel"/>
    <w:tmpl w:val="8618C4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7A3BFE"/>
    <w:rsid w:val="0001503B"/>
    <w:rsid w:val="0006275C"/>
    <w:rsid w:val="00062960"/>
    <w:rsid w:val="000A733B"/>
    <w:rsid w:val="000C124F"/>
    <w:rsid w:val="000C7EF8"/>
    <w:rsid w:val="000D5B9E"/>
    <w:rsid w:val="000F54B6"/>
    <w:rsid w:val="00151922"/>
    <w:rsid w:val="00151AA7"/>
    <w:rsid w:val="00163216"/>
    <w:rsid w:val="00163BCA"/>
    <w:rsid w:val="00167E95"/>
    <w:rsid w:val="00196614"/>
    <w:rsid w:val="001C5882"/>
    <w:rsid w:val="001D0626"/>
    <w:rsid w:val="001D1997"/>
    <w:rsid w:val="001E390C"/>
    <w:rsid w:val="00206866"/>
    <w:rsid w:val="0025091A"/>
    <w:rsid w:val="00254D42"/>
    <w:rsid w:val="0025746A"/>
    <w:rsid w:val="00272ACF"/>
    <w:rsid w:val="002C0630"/>
    <w:rsid w:val="002C6303"/>
    <w:rsid w:val="002D40D1"/>
    <w:rsid w:val="002D49A1"/>
    <w:rsid w:val="002D5686"/>
    <w:rsid w:val="002F7002"/>
    <w:rsid w:val="00301083"/>
    <w:rsid w:val="00305DAF"/>
    <w:rsid w:val="00336F4C"/>
    <w:rsid w:val="00343B2A"/>
    <w:rsid w:val="003639BD"/>
    <w:rsid w:val="003B30BA"/>
    <w:rsid w:val="00420869"/>
    <w:rsid w:val="00423A20"/>
    <w:rsid w:val="00423ED6"/>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428AF"/>
    <w:rsid w:val="005806DE"/>
    <w:rsid w:val="00594137"/>
    <w:rsid w:val="005B326C"/>
    <w:rsid w:val="005B41F2"/>
    <w:rsid w:val="005C0013"/>
    <w:rsid w:val="005D7379"/>
    <w:rsid w:val="00607A24"/>
    <w:rsid w:val="00657427"/>
    <w:rsid w:val="0066065C"/>
    <w:rsid w:val="006957D8"/>
    <w:rsid w:val="006D5476"/>
    <w:rsid w:val="006F208A"/>
    <w:rsid w:val="006F512A"/>
    <w:rsid w:val="00700044"/>
    <w:rsid w:val="00721B7F"/>
    <w:rsid w:val="00736A96"/>
    <w:rsid w:val="00736F82"/>
    <w:rsid w:val="00737DF7"/>
    <w:rsid w:val="0075134D"/>
    <w:rsid w:val="00774B16"/>
    <w:rsid w:val="007814EF"/>
    <w:rsid w:val="0078700F"/>
    <w:rsid w:val="007A1295"/>
    <w:rsid w:val="007A3BFE"/>
    <w:rsid w:val="007C0E8C"/>
    <w:rsid w:val="007C3332"/>
    <w:rsid w:val="007D195E"/>
    <w:rsid w:val="007F32DB"/>
    <w:rsid w:val="008014D8"/>
    <w:rsid w:val="0080173E"/>
    <w:rsid w:val="00823EAD"/>
    <w:rsid w:val="0083224F"/>
    <w:rsid w:val="008522E6"/>
    <w:rsid w:val="0085347D"/>
    <w:rsid w:val="00857E6F"/>
    <w:rsid w:val="00881202"/>
    <w:rsid w:val="008907D2"/>
    <w:rsid w:val="008B2D77"/>
    <w:rsid w:val="008B68D7"/>
    <w:rsid w:val="008C6907"/>
    <w:rsid w:val="008C7F32"/>
    <w:rsid w:val="008D07D4"/>
    <w:rsid w:val="008D080B"/>
    <w:rsid w:val="008F5FFE"/>
    <w:rsid w:val="008F613E"/>
    <w:rsid w:val="00912B06"/>
    <w:rsid w:val="00940BDA"/>
    <w:rsid w:val="00991E9B"/>
    <w:rsid w:val="009929A0"/>
    <w:rsid w:val="009C57C6"/>
    <w:rsid w:val="009D5565"/>
    <w:rsid w:val="00A10652"/>
    <w:rsid w:val="00A16B0B"/>
    <w:rsid w:val="00A34C03"/>
    <w:rsid w:val="00A363EC"/>
    <w:rsid w:val="00A90FD5"/>
    <w:rsid w:val="00A94B73"/>
    <w:rsid w:val="00AA3E6A"/>
    <w:rsid w:val="00AB1959"/>
    <w:rsid w:val="00AB7F63"/>
    <w:rsid w:val="00AC2F67"/>
    <w:rsid w:val="00AD1BAE"/>
    <w:rsid w:val="00AE024A"/>
    <w:rsid w:val="00AE3879"/>
    <w:rsid w:val="00AF3A56"/>
    <w:rsid w:val="00B13E57"/>
    <w:rsid w:val="00B31EE4"/>
    <w:rsid w:val="00B36AA1"/>
    <w:rsid w:val="00B404FA"/>
    <w:rsid w:val="00B727CF"/>
    <w:rsid w:val="00B7393B"/>
    <w:rsid w:val="00BC2CA8"/>
    <w:rsid w:val="00BD3979"/>
    <w:rsid w:val="00BF7643"/>
    <w:rsid w:val="00C22597"/>
    <w:rsid w:val="00C35771"/>
    <w:rsid w:val="00C46745"/>
    <w:rsid w:val="00C8133B"/>
    <w:rsid w:val="00C83BBB"/>
    <w:rsid w:val="00C919BA"/>
    <w:rsid w:val="00CA0C54"/>
    <w:rsid w:val="00CA58EF"/>
    <w:rsid w:val="00CA6E7D"/>
    <w:rsid w:val="00CD54C6"/>
    <w:rsid w:val="00CE3EEC"/>
    <w:rsid w:val="00CF1ABA"/>
    <w:rsid w:val="00D02920"/>
    <w:rsid w:val="00D57957"/>
    <w:rsid w:val="00D67FF3"/>
    <w:rsid w:val="00D80A8E"/>
    <w:rsid w:val="00D949B3"/>
    <w:rsid w:val="00DC37DC"/>
    <w:rsid w:val="00DD5DB2"/>
    <w:rsid w:val="00DF207A"/>
    <w:rsid w:val="00E200F6"/>
    <w:rsid w:val="00E23492"/>
    <w:rsid w:val="00E40B56"/>
    <w:rsid w:val="00E60C4D"/>
    <w:rsid w:val="00E63969"/>
    <w:rsid w:val="00E63FF7"/>
    <w:rsid w:val="00E65B52"/>
    <w:rsid w:val="00EB2755"/>
    <w:rsid w:val="00EB64D1"/>
    <w:rsid w:val="00F073F9"/>
    <w:rsid w:val="00F31ABE"/>
    <w:rsid w:val="00F75BAC"/>
    <w:rsid w:val="00FA118F"/>
    <w:rsid w:val="00FA65E9"/>
    <w:rsid w:val="00FB3EAC"/>
    <w:rsid w:val="00FC2325"/>
    <w:rsid w:val="00FD3B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customStyle="1" w:styleId="UnresolvedMention">
    <w:name w:val="Unresolved Mention"/>
    <w:basedOn w:val="a0"/>
    <w:uiPriority w:val="99"/>
    <w:semiHidden/>
    <w:unhideWhenUsed/>
    <w:rsid w:val="00272ACF"/>
    <w:rPr>
      <w:color w:val="605E5C"/>
      <w:shd w:val="clear" w:color="auto" w:fill="E1DFDD"/>
    </w:rPr>
  </w:style>
  <w:style w:type="paragraph" w:styleId="a6">
    <w:name w:val="List Paragraph"/>
    <w:basedOn w:val="a"/>
    <w:uiPriority w:val="34"/>
    <w:qFormat/>
    <w:rsid w:val="00F31ABE"/>
    <w:pPr>
      <w:spacing w:after="160" w:line="259" w:lineRule="auto"/>
      <w:ind w:left="720"/>
      <w:contextualSpacing/>
    </w:pPr>
    <w:rPr>
      <w:rFonts w:asciiTheme="minorHAnsi" w:eastAsiaTheme="minorHAnsi" w:hAnsiTheme="minorHAnsi" w:cstheme="minorBidi"/>
      <w:kern w:val="2"/>
    </w:rPr>
  </w:style>
  <w:style w:type="table" w:styleId="a7">
    <w:name w:val="Table Grid"/>
    <w:basedOn w:val="a1"/>
    <w:uiPriority w:val="59"/>
    <w:rsid w:val="00CA0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7880686">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0D7D3-27F6-43DE-9CAB-0D447FA7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ΔΤ</Template>
  <TotalTime>88</TotalTime>
  <Pages>2</Pages>
  <Words>407</Words>
  <Characters>2203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2605</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PC-205</cp:lastModifiedBy>
  <cp:revision>5</cp:revision>
  <cp:lastPrinted>2022-06-24T09:18:00Z</cp:lastPrinted>
  <dcterms:created xsi:type="dcterms:W3CDTF">2025-04-07T11:21:00Z</dcterms:created>
  <dcterms:modified xsi:type="dcterms:W3CDTF">2025-04-25T10:10:00Z</dcterms:modified>
</cp:coreProperties>
</file>