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03C65" w14:textId="77777777" w:rsidR="00AB2970" w:rsidRPr="00762C5E" w:rsidRDefault="00AD175C" w:rsidP="00AB2970">
      <w:pPr>
        <w:jc w:val="both"/>
        <w:rPr>
          <w:rFonts w:cs="Arial"/>
          <w:b/>
          <w:bCs/>
          <w:color w:val="000000"/>
        </w:rPr>
      </w:pPr>
      <w:r w:rsidRPr="00AD175C">
        <w:rPr>
          <w:rFonts w:cs="Arial"/>
          <w:b/>
          <w:bCs/>
          <w:noProof/>
          <w:color w:val="000000"/>
        </w:rPr>
        <w:drawing>
          <wp:inline distT="0" distB="0" distL="0" distR="0" wp14:anchorId="65CF29CB" wp14:editId="57833167">
            <wp:extent cx="2346325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C99DD3" w14:textId="77777777" w:rsidR="00AB2970" w:rsidRPr="00762C5E" w:rsidRDefault="00AB2970" w:rsidP="00AB2970">
      <w:pPr>
        <w:jc w:val="both"/>
        <w:rPr>
          <w:rFonts w:cs="Arial"/>
          <w:b/>
          <w:bCs/>
          <w:color w:val="000000"/>
        </w:rPr>
      </w:pPr>
    </w:p>
    <w:p w14:paraId="42B864CB" w14:textId="77777777" w:rsidR="00AB2970" w:rsidRPr="008A28C0" w:rsidRDefault="00AB2970" w:rsidP="008A28C0">
      <w:pPr>
        <w:shd w:val="clear" w:color="auto" w:fill="FFFFFF"/>
        <w:spacing w:before="240" w:after="240" w:line="384" w:lineRule="atLeast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8A28C0">
        <w:rPr>
          <w:rFonts w:ascii="Arial" w:hAnsi="Arial" w:cs="Arial"/>
          <w:b/>
          <w:color w:val="000000"/>
          <w:sz w:val="24"/>
          <w:szCs w:val="24"/>
        </w:rPr>
        <w:t>ΑΝΑΚΟΙΝΩΣΗ</w:t>
      </w:r>
    </w:p>
    <w:p w14:paraId="36FFA1FA" w14:textId="77777777" w:rsidR="000B3BED" w:rsidRPr="000B3BED" w:rsidRDefault="000B3BED" w:rsidP="000B3BED">
      <w:pPr>
        <w:shd w:val="clear" w:color="auto" w:fill="FFFFFF"/>
        <w:spacing w:before="240" w:after="240" w:line="384" w:lineRule="atLeast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B3BED">
        <w:rPr>
          <w:rFonts w:asciiTheme="minorHAnsi" w:hAnsiTheme="minorHAnsi" w:cstheme="minorHAnsi"/>
          <w:b/>
          <w:bCs/>
          <w:color w:val="000000"/>
          <w:sz w:val="24"/>
          <w:szCs w:val="24"/>
        </w:rPr>
        <w:t>Ξεκινάει η ρύθμιση οφειλών προς το Δήμο Μινώα Πεδιάδας</w:t>
      </w:r>
    </w:p>
    <w:p w14:paraId="07F5D2AF" w14:textId="493FC3C4" w:rsidR="000B3BED" w:rsidRDefault="006D46A0" w:rsidP="00694000">
      <w:pPr>
        <w:shd w:val="clear" w:color="auto" w:fill="FFFFFF"/>
        <w:spacing w:before="240" w:after="240" w:line="384" w:lineRule="atLeast"/>
        <w:jc w:val="both"/>
        <w:textAlignment w:val="baseline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26461">
        <w:rPr>
          <w:rFonts w:asciiTheme="minorHAnsi" w:hAnsiTheme="minorHAnsi" w:cstheme="minorHAnsi"/>
          <w:color w:val="000000"/>
          <w:sz w:val="24"/>
          <w:szCs w:val="24"/>
        </w:rPr>
        <w:t xml:space="preserve">Από το </w:t>
      </w:r>
      <w:r w:rsidR="00AB2970" w:rsidRPr="00926461">
        <w:rPr>
          <w:rFonts w:asciiTheme="minorHAnsi" w:hAnsiTheme="minorHAnsi" w:cstheme="minorHAnsi"/>
          <w:color w:val="000000"/>
          <w:sz w:val="24"/>
          <w:szCs w:val="24"/>
        </w:rPr>
        <w:t>Δήμο</w:t>
      </w:r>
      <w:r w:rsidR="00A3792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27FF4" w:rsidRPr="00926461">
        <w:rPr>
          <w:rFonts w:asciiTheme="minorHAnsi" w:hAnsiTheme="minorHAnsi" w:cstheme="minorHAnsi"/>
          <w:color w:val="000000"/>
          <w:sz w:val="24"/>
          <w:szCs w:val="24"/>
        </w:rPr>
        <w:t>Μινώα Πεδιάδας</w:t>
      </w:r>
      <w:r w:rsidR="00AB2970" w:rsidRPr="0092646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926461">
        <w:rPr>
          <w:rFonts w:asciiTheme="minorHAnsi" w:hAnsiTheme="minorHAnsi" w:cstheme="minorHAnsi"/>
          <w:color w:val="000000"/>
          <w:sz w:val="24"/>
          <w:szCs w:val="24"/>
        </w:rPr>
        <w:t xml:space="preserve"> ανακοινώνεται ότι </w:t>
      </w:r>
      <w:r w:rsidR="007F15D4">
        <w:rPr>
          <w:rFonts w:asciiTheme="minorHAnsi" w:hAnsiTheme="minorHAnsi" w:cstheme="minorHAnsi"/>
          <w:color w:val="000000"/>
          <w:sz w:val="24"/>
          <w:szCs w:val="24"/>
        </w:rPr>
        <w:t>ξεκ</w:t>
      </w:r>
      <w:r w:rsidR="00651FD6">
        <w:rPr>
          <w:rFonts w:asciiTheme="minorHAnsi" w:hAnsiTheme="minorHAnsi" w:cstheme="minorHAnsi"/>
          <w:color w:val="000000"/>
          <w:sz w:val="24"/>
          <w:szCs w:val="24"/>
        </w:rPr>
        <w:t>ινάει</w:t>
      </w:r>
      <w:r w:rsidR="007F15D4">
        <w:rPr>
          <w:rFonts w:asciiTheme="minorHAnsi" w:hAnsiTheme="minorHAnsi" w:cstheme="minorHAnsi"/>
          <w:color w:val="000000"/>
          <w:sz w:val="24"/>
          <w:szCs w:val="24"/>
        </w:rPr>
        <w:t xml:space="preserve"> από σήμερα η ρύθμιση οφειλών προς Δήμους, </w:t>
      </w:r>
      <w:r w:rsidRPr="00926461">
        <w:rPr>
          <w:rFonts w:asciiTheme="minorHAnsi" w:hAnsiTheme="minorHAnsi" w:cstheme="minorHAnsi"/>
          <w:b/>
          <w:color w:val="000000"/>
          <w:sz w:val="24"/>
          <w:szCs w:val="24"/>
        </w:rPr>
        <w:t>οι οποίες έχουν βεβαιωθεί μέχρι 31/10/2024 σε έως και 60 μηνιαίες δόσεις</w:t>
      </w:r>
      <w:r w:rsidR="007F15D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</w:t>
      </w:r>
      <w:r w:rsidR="007F15D4" w:rsidRPr="007F15D4">
        <w:rPr>
          <w:rFonts w:asciiTheme="minorHAnsi" w:hAnsiTheme="minorHAnsi" w:cstheme="minorHAnsi"/>
          <w:bCs/>
          <w:color w:val="000000"/>
          <w:sz w:val="24"/>
          <w:szCs w:val="24"/>
        </w:rPr>
        <w:t>σύμφωνα με</w:t>
      </w:r>
      <w:r w:rsidR="00651F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7F15D4" w:rsidRPr="00926461">
        <w:rPr>
          <w:rFonts w:asciiTheme="minorHAnsi" w:hAnsiTheme="minorHAnsi" w:cstheme="minorHAnsi"/>
          <w:color w:val="000000"/>
          <w:sz w:val="24"/>
          <w:szCs w:val="24"/>
        </w:rPr>
        <w:t>τ</w:t>
      </w:r>
      <w:r w:rsidR="007F15D4">
        <w:rPr>
          <w:rFonts w:asciiTheme="minorHAnsi" w:hAnsiTheme="minorHAnsi" w:cstheme="minorHAnsi"/>
          <w:color w:val="000000"/>
          <w:sz w:val="24"/>
          <w:szCs w:val="24"/>
        </w:rPr>
        <w:t>ο</w:t>
      </w:r>
      <w:r w:rsidR="007F15D4" w:rsidRPr="00926461">
        <w:rPr>
          <w:rFonts w:asciiTheme="minorHAnsi" w:hAnsiTheme="minorHAnsi" w:cstheme="minorHAnsi"/>
          <w:color w:val="000000"/>
          <w:sz w:val="24"/>
          <w:szCs w:val="24"/>
        </w:rPr>
        <w:t xml:space="preserve"> άρθρ</w:t>
      </w:r>
      <w:r w:rsidR="007F15D4">
        <w:rPr>
          <w:rFonts w:asciiTheme="minorHAnsi" w:hAnsiTheme="minorHAnsi" w:cstheme="minorHAnsi"/>
          <w:color w:val="000000"/>
          <w:sz w:val="24"/>
          <w:szCs w:val="24"/>
        </w:rPr>
        <w:t>ο</w:t>
      </w:r>
      <w:r w:rsidR="007F15D4" w:rsidRPr="00926461">
        <w:rPr>
          <w:rFonts w:asciiTheme="minorHAnsi" w:hAnsiTheme="minorHAnsi" w:cstheme="minorHAnsi"/>
          <w:color w:val="000000"/>
          <w:sz w:val="24"/>
          <w:szCs w:val="24"/>
        </w:rPr>
        <w:t xml:space="preserve"> 25 του Ν. 5143/2024 (ΦΕΚ101/ΤΑ 11-10-2024)</w:t>
      </w:r>
      <w:r w:rsidR="000B3BE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</w:p>
    <w:p w14:paraId="7CA03566" w14:textId="77777777" w:rsidR="006D46A0" w:rsidRPr="000B3BED" w:rsidRDefault="006D46A0" w:rsidP="00694000">
      <w:pPr>
        <w:shd w:val="clear" w:color="auto" w:fill="FFFFFF"/>
        <w:spacing w:before="240" w:after="240" w:line="384" w:lineRule="atLeast"/>
        <w:jc w:val="both"/>
        <w:textAlignment w:val="baseline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26461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Οι αιτήσεις υπαγωγής στη ρύθμιση μπορούν να υποβληθούν μέχρι και την 31</w:t>
      </w:r>
      <w:r w:rsidR="008A28C0" w:rsidRPr="00926461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η </w:t>
      </w:r>
      <w:r w:rsidRPr="00926461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Ιανουαρίου 2025.</w:t>
      </w:r>
    </w:p>
    <w:p w14:paraId="292D823E" w14:textId="77777777" w:rsidR="008A28C0" w:rsidRPr="00926461" w:rsidRDefault="00694000" w:rsidP="00694000">
      <w:pPr>
        <w:shd w:val="clear" w:color="auto" w:fill="FFFFFF"/>
        <w:spacing w:before="240" w:after="240" w:line="384" w:lineRule="atLeast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26461">
        <w:rPr>
          <w:rFonts w:asciiTheme="minorHAnsi" w:hAnsiTheme="minorHAnsi" w:cstheme="minorHAnsi"/>
          <w:color w:val="000000"/>
          <w:sz w:val="24"/>
          <w:szCs w:val="24"/>
        </w:rPr>
        <w:t xml:space="preserve">Η ρύθμιση </w:t>
      </w:r>
      <w:r w:rsidRPr="00694000">
        <w:rPr>
          <w:rFonts w:asciiTheme="minorHAnsi" w:hAnsiTheme="minorHAnsi" w:cstheme="minorHAnsi"/>
          <w:color w:val="000000"/>
          <w:sz w:val="24"/>
          <w:szCs w:val="24"/>
        </w:rPr>
        <w:t xml:space="preserve">αφορά χρέη που βεβαιώθηκαν έως τις 31 Οκτωβρίου 2024, ενώ η αίτηση του οφειλέτη για την υπαγωγή στη ρύθμιση υποβάλλεται προς την </w:t>
      </w:r>
      <w:r w:rsidRPr="00926461">
        <w:rPr>
          <w:rFonts w:asciiTheme="minorHAnsi" w:hAnsiTheme="minorHAnsi" w:cstheme="minorHAnsi"/>
          <w:color w:val="000000"/>
          <w:sz w:val="24"/>
          <w:szCs w:val="24"/>
        </w:rPr>
        <w:t>Δ/</w:t>
      </w:r>
      <w:proofErr w:type="spellStart"/>
      <w:r w:rsidRPr="00926461">
        <w:rPr>
          <w:rFonts w:asciiTheme="minorHAnsi" w:hAnsiTheme="minorHAnsi" w:cstheme="minorHAnsi"/>
          <w:color w:val="000000"/>
          <w:sz w:val="24"/>
          <w:szCs w:val="24"/>
        </w:rPr>
        <w:t>νση</w:t>
      </w:r>
      <w:proofErr w:type="spellEnd"/>
      <w:r w:rsidRPr="00926461">
        <w:rPr>
          <w:rFonts w:asciiTheme="minorHAnsi" w:hAnsiTheme="minorHAnsi" w:cstheme="minorHAnsi"/>
          <w:color w:val="000000"/>
          <w:sz w:val="24"/>
          <w:szCs w:val="24"/>
        </w:rPr>
        <w:t xml:space="preserve"> Οικονομικών του Δήμου Μινώα Πεδιάδας</w:t>
      </w:r>
      <w:r w:rsidR="008A28C0" w:rsidRPr="0092646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1EA457C" w14:textId="77777777" w:rsidR="008A28C0" w:rsidRPr="00926461" w:rsidRDefault="008A28C0" w:rsidP="00694000">
      <w:pPr>
        <w:shd w:val="clear" w:color="auto" w:fill="FFFFFF"/>
        <w:spacing w:before="240" w:after="240" w:line="384" w:lineRule="atLeast"/>
        <w:jc w:val="both"/>
        <w:textAlignment w:val="baseline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2646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Διαθέσιμο έντυπο αίτησης θα βρείτε στον σύνδεσμο </w:t>
      </w:r>
      <w:hyperlink r:id="rId6" w:history="1">
        <w:r w:rsidRPr="00926461">
          <w:rPr>
            <w:rStyle w:val="-"/>
            <w:rFonts w:asciiTheme="minorHAnsi" w:hAnsiTheme="minorHAnsi" w:cstheme="minorHAnsi"/>
            <w:b/>
            <w:sz w:val="24"/>
            <w:szCs w:val="24"/>
          </w:rPr>
          <w:t>https://minoapediadas.gr/cat-process/tameio/</w:t>
        </w:r>
      </w:hyperlink>
    </w:p>
    <w:p w14:paraId="23789265" w14:textId="77777777" w:rsidR="007F15D4" w:rsidRDefault="007F15D4" w:rsidP="00694000">
      <w:pPr>
        <w:shd w:val="clear" w:color="auto" w:fill="FFFFFF"/>
        <w:spacing w:before="240" w:after="240" w:line="384" w:lineRule="atLeast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Pr="00694000">
        <w:rPr>
          <w:rFonts w:asciiTheme="minorHAnsi" w:hAnsiTheme="minorHAnsi" w:cstheme="minorHAnsi"/>
          <w:color w:val="000000"/>
          <w:sz w:val="24"/>
          <w:szCs w:val="24"/>
        </w:rPr>
        <w:t>Δυνατότητα εξόφλησης σε έως 60 δόσεις έχουν φυσικά πρόσωπα και επιχειρήσεις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γι</w:t>
      </w:r>
      <w:r w:rsidR="00A37923">
        <w:rPr>
          <w:rFonts w:asciiTheme="minorHAnsi" w:hAnsiTheme="minorHAnsi" w:cstheme="minorHAnsi"/>
          <w:color w:val="000000"/>
          <w:sz w:val="24"/>
          <w:szCs w:val="24"/>
        </w:rPr>
        <w:t>α το συνολικό ποσό που οφείλουν.</w:t>
      </w:r>
      <w:r w:rsidR="00A37923" w:rsidRPr="00A3792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394F931" w14:textId="77777777" w:rsidR="007F15D4" w:rsidRPr="00694000" w:rsidRDefault="007F15D4" w:rsidP="007F15D4">
      <w:pPr>
        <w:shd w:val="clear" w:color="auto" w:fill="FFFFFF"/>
        <w:spacing w:before="240" w:after="240" w:line="384" w:lineRule="atLeast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2.</w:t>
      </w:r>
      <w:r w:rsidRPr="00926461">
        <w:rPr>
          <w:rFonts w:asciiTheme="minorHAnsi" w:hAnsiTheme="minorHAnsi" w:cstheme="minorHAnsi"/>
          <w:color w:val="000000"/>
          <w:sz w:val="24"/>
          <w:szCs w:val="24"/>
        </w:rPr>
        <w:t xml:space="preserve">Για όσους έχουν εκδώσει </w:t>
      </w:r>
      <w:r w:rsidRPr="00926461">
        <w:rPr>
          <w:rFonts w:asciiTheme="minorHAnsi" w:hAnsiTheme="minorHAnsi" w:cstheme="minorHAnsi"/>
          <w:b/>
          <w:color w:val="000000"/>
          <w:sz w:val="24"/>
          <w:szCs w:val="24"/>
        </w:rPr>
        <w:t>Βεβαίωση Ε</w:t>
      </w:r>
      <w:r w:rsidRPr="0069400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υάλωτου </w:t>
      </w:r>
      <w:r w:rsidRPr="00926461">
        <w:rPr>
          <w:rFonts w:asciiTheme="minorHAnsi" w:hAnsiTheme="minorHAnsi" w:cstheme="minorHAnsi"/>
          <w:b/>
          <w:color w:val="000000"/>
          <w:sz w:val="24"/>
          <w:szCs w:val="24"/>
        </w:rPr>
        <w:t>Ο</w:t>
      </w:r>
      <w:r w:rsidRPr="00694000">
        <w:rPr>
          <w:rFonts w:asciiTheme="minorHAnsi" w:hAnsiTheme="minorHAnsi" w:cstheme="minorHAnsi"/>
          <w:b/>
          <w:color w:val="000000"/>
          <w:sz w:val="24"/>
          <w:szCs w:val="24"/>
        </w:rPr>
        <w:t>φειλέτη</w:t>
      </w:r>
      <w:r w:rsidRPr="00694000">
        <w:rPr>
          <w:rFonts w:asciiTheme="minorHAnsi" w:hAnsiTheme="minorHAnsi" w:cstheme="minorHAnsi"/>
          <w:color w:val="000000"/>
          <w:sz w:val="24"/>
          <w:szCs w:val="24"/>
        </w:rPr>
        <w:t>, τα χρέη καταβάλλονται με απαλλαγή από προσαυξήσεις, τόκους και πρόστιμα ως εξής:</w:t>
      </w:r>
    </w:p>
    <w:p w14:paraId="6528B819" w14:textId="77777777" w:rsidR="007F15D4" w:rsidRPr="00694000" w:rsidRDefault="007F15D4" w:rsidP="007F15D4">
      <w:pPr>
        <w:shd w:val="clear" w:color="auto" w:fill="FFFFFF"/>
        <w:spacing w:before="240" w:after="24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694000">
        <w:rPr>
          <w:rFonts w:asciiTheme="minorHAnsi" w:hAnsiTheme="minorHAnsi" w:cstheme="minorHAnsi"/>
          <w:color w:val="000000"/>
          <w:sz w:val="24"/>
          <w:szCs w:val="24"/>
        </w:rPr>
        <w:t>α) αν εξοφληθούν εφάπαξ, με απαλλαγή κατά 95%,</w:t>
      </w:r>
    </w:p>
    <w:p w14:paraId="662B751D" w14:textId="77777777" w:rsidR="007F15D4" w:rsidRPr="00694000" w:rsidRDefault="007F15D4" w:rsidP="007F15D4">
      <w:pPr>
        <w:shd w:val="clear" w:color="auto" w:fill="FFFFFF"/>
        <w:spacing w:before="240" w:after="24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694000">
        <w:rPr>
          <w:rFonts w:asciiTheme="minorHAnsi" w:hAnsiTheme="minorHAnsi" w:cstheme="minorHAnsi"/>
          <w:color w:val="000000"/>
          <w:sz w:val="24"/>
          <w:szCs w:val="24"/>
        </w:rPr>
        <w:t>β) αν εξοφληθούν σε δύο έως έξι δόσεις, με απαλλαγή κατά 85%,</w:t>
      </w:r>
    </w:p>
    <w:p w14:paraId="2C38D82A" w14:textId="77777777" w:rsidR="007F15D4" w:rsidRPr="00694000" w:rsidRDefault="007F15D4" w:rsidP="007F15D4">
      <w:pPr>
        <w:shd w:val="clear" w:color="auto" w:fill="FFFFFF"/>
        <w:spacing w:before="240" w:after="24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694000">
        <w:rPr>
          <w:rFonts w:asciiTheme="minorHAnsi" w:hAnsiTheme="minorHAnsi" w:cstheme="minorHAnsi"/>
          <w:color w:val="000000"/>
          <w:sz w:val="24"/>
          <w:szCs w:val="24"/>
        </w:rPr>
        <w:t>γ) αν εξοφληθούν σε επτά έως δώδεκα δόσεις, με απαλλαγή κατά 80%,</w:t>
      </w:r>
    </w:p>
    <w:p w14:paraId="1BC99C0D" w14:textId="77777777" w:rsidR="007F15D4" w:rsidRPr="00694000" w:rsidRDefault="007F15D4" w:rsidP="007F15D4">
      <w:pPr>
        <w:shd w:val="clear" w:color="auto" w:fill="FFFFFF"/>
        <w:spacing w:before="240" w:after="24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694000">
        <w:rPr>
          <w:rFonts w:asciiTheme="minorHAnsi" w:hAnsiTheme="minorHAnsi" w:cstheme="minorHAnsi"/>
          <w:color w:val="000000"/>
          <w:sz w:val="24"/>
          <w:szCs w:val="24"/>
        </w:rPr>
        <w:t>δ) αν εξοφληθούν σε 13 έως 60 δόσεις, με απαλλαγή κατά 75%.</w:t>
      </w:r>
    </w:p>
    <w:p w14:paraId="20745B91" w14:textId="77777777" w:rsidR="007F15D4" w:rsidRDefault="007F15D4" w:rsidP="00694000">
      <w:pPr>
        <w:shd w:val="clear" w:color="auto" w:fill="FFFFFF"/>
        <w:spacing w:before="240" w:after="240" w:line="384" w:lineRule="atLeast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Η βεβαίωση εκδίδεται από τον οφειλέτη</w:t>
      </w:r>
      <w:r w:rsidR="00A37923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hyperlink r:id="rId7" w:history="1">
        <w:r w:rsidR="00A37923" w:rsidRPr="00586507">
          <w:rPr>
            <w:rStyle w:val="-"/>
            <w:rFonts w:asciiTheme="minorHAnsi" w:hAnsiTheme="minorHAnsi" w:cstheme="minorHAnsi"/>
            <w:sz w:val="24"/>
            <w:szCs w:val="24"/>
          </w:rPr>
          <w:t>https://www.gov.gr/ipiresies/periousia-kai-phorologia/diakheirise-opheilon/bebaiose-eualotou-opheilete</w:t>
        </w:r>
      </w:hyperlink>
      <w:r w:rsidR="00A3792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AE99009" w14:textId="77777777" w:rsidR="00694000" w:rsidRPr="00694000" w:rsidRDefault="00694000" w:rsidP="00694000">
      <w:pPr>
        <w:shd w:val="clear" w:color="auto" w:fill="FFFFFF"/>
        <w:spacing w:before="240" w:after="240" w:line="384" w:lineRule="atLeast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694000">
        <w:rPr>
          <w:rFonts w:asciiTheme="minorHAnsi" w:hAnsiTheme="minorHAnsi" w:cstheme="minorHAnsi"/>
          <w:color w:val="000000"/>
          <w:sz w:val="24"/>
          <w:szCs w:val="24"/>
        </w:rPr>
        <w:t>Για όλες τις περιπτώσεις οι δόσεις είναι μηνιαίες και ισόποσες (εκτός της τελευταίας) και δεν μπορεί να είναι μικρότερες των 50 ευρώ. </w:t>
      </w:r>
    </w:p>
    <w:p w14:paraId="5D477240" w14:textId="77777777" w:rsidR="00727FF4" w:rsidRPr="00926461" w:rsidRDefault="00727FF4" w:rsidP="008A28C0">
      <w:pPr>
        <w:pStyle w:val="Web"/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26461">
        <w:rPr>
          <w:rFonts w:asciiTheme="minorHAnsi" w:hAnsiTheme="minorHAnsi" w:cstheme="minorHAnsi"/>
          <w:color w:val="000000"/>
        </w:rPr>
        <w:t xml:space="preserve">Για περισσότερες πληροφορίες σχετικά με τους όρους και προϋποθέσεις ένταξης, </w:t>
      </w:r>
      <w:r w:rsidR="008A28C0" w:rsidRPr="00926461">
        <w:rPr>
          <w:rFonts w:asciiTheme="minorHAnsi" w:hAnsiTheme="minorHAnsi" w:cstheme="minorHAnsi"/>
          <w:color w:val="000000"/>
        </w:rPr>
        <w:t xml:space="preserve">στην ως </w:t>
      </w:r>
      <w:r w:rsidR="001D1A53" w:rsidRPr="00926461">
        <w:rPr>
          <w:rFonts w:asciiTheme="minorHAnsi" w:hAnsiTheme="minorHAnsi" w:cstheme="minorHAnsi"/>
          <w:color w:val="000000"/>
        </w:rPr>
        <w:t xml:space="preserve">άνω </w:t>
      </w:r>
      <w:r w:rsidR="008A28C0" w:rsidRPr="00926461">
        <w:rPr>
          <w:rFonts w:asciiTheme="minorHAnsi" w:hAnsiTheme="minorHAnsi" w:cstheme="minorHAnsi"/>
          <w:color w:val="000000"/>
        </w:rPr>
        <w:t>ρύθμιση</w:t>
      </w:r>
      <w:r w:rsidR="001D1A53" w:rsidRPr="00926461">
        <w:rPr>
          <w:rFonts w:asciiTheme="minorHAnsi" w:hAnsiTheme="minorHAnsi" w:cstheme="minorHAnsi"/>
          <w:color w:val="000000"/>
        </w:rPr>
        <w:t xml:space="preserve">, </w:t>
      </w:r>
      <w:r w:rsidR="00A014E4" w:rsidRPr="00926461">
        <w:rPr>
          <w:rFonts w:asciiTheme="minorHAnsi" w:hAnsiTheme="minorHAnsi" w:cstheme="minorHAnsi"/>
          <w:color w:val="000000"/>
        </w:rPr>
        <w:t xml:space="preserve">οι </w:t>
      </w:r>
      <w:r w:rsidRPr="00926461">
        <w:rPr>
          <w:rFonts w:asciiTheme="minorHAnsi" w:hAnsiTheme="minorHAnsi" w:cstheme="minorHAnsi"/>
          <w:color w:val="000000"/>
        </w:rPr>
        <w:t>ενδιαφερόμενοι</w:t>
      </w:r>
      <w:r w:rsidR="001D1A53" w:rsidRPr="00926461">
        <w:rPr>
          <w:rFonts w:asciiTheme="minorHAnsi" w:hAnsiTheme="minorHAnsi" w:cstheme="minorHAnsi"/>
          <w:color w:val="000000"/>
        </w:rPr>
        <w:t xml:space="preserve"> μπορούν</w:t>
      </w:r>
      <w:r w:rsidRPr="00926461">
        <w:rPr>
          <w:rFonts w:asciiTheme="minorHAnsi" w:hAnsiTheme="minorHAnsi" w:cstheme="minorHAnsi"/>
          <w:color w:val="000000"/>
        </w:rPr>
        <w:t>, κατά τις εργάσιμες ημέρες και ώρες,  να απευθύνονται στο Τμήμα Ταμείου του Δήμου Μινώα Πεδιάδας.</w:t>
      </w:r>
    </w:p>
    <w:p w14:paraId="18F6D7F2" w14:textId="77777777" w:rsidR="00727FF4" w:rsidRPr="00926461" w:rsidRDefault="00727FF4" w:rsidP="008A28C0">
      <w:pPr>
        <w:pStyle w:val="Web"/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26461">
        <w:rPr>
          <w:rFonts w:asciiTheme="minorHAnsi" w:hAnsiTheme="minorHAnsi" w:cstheme="minorHAnsi"/>
          <w:color w:val="000000"/>
        </w:rPr>
        <w:lastRenderedPageBreak/>
        <w:t xml:space="preserve">Τηλέφωνα </w:t>
      </w:r>
      <w:proofErr w:type="spellStart"/>
      <w:r w:rsidRPr="00926461">
        <w:rPr>
          <w:rFonts w:asciiTheme="minorHAnsi" w:hAnsiTheme="minorHAnsi" w:cstheme="minorHAnsi"/>
          <w:color w:val="000000"/>
        </w:rPr>
        <w:t>επικοινωνίας:Δ.Ε</w:t>
      </w:r>
      <w:proofErr w:type="spellEnd"/>
      <w:r w:rsidRPr="00926461">
        <w:rPr>
          <w:rFonts w:asciiTheme="minorHAnsi" w:hAnsiTheme="minorHAnsi" w:cstheme="minorHAnsi"/>
          <w:color w:val="000000"/>
        </w:rPr>
        <w:t>. Αρκαλοχωρίου: 28913 40329</w:t>
      </w:r>
    </w:p>
    <w:p w14:paraId="50C71875" w14:textId="77777777" w:rsidR="00A014E4" w:rsidRDefault="00A014E4" w:rsidP="008A28C0">
      <w:pPr>
        <w:pStyle w:val="Web"/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26461">
        <w:rPr>
          <w:rFonts w:asciiTheme="minorHAnsi" w:hAnsiTheme="minorHAnsi" w:cstheme="minorHAnsi"/>
          <w:color w:val="000000"/>
        </w:rPr>
        <w:t xml:space="preserve">Email: </w:t>
      </w:r>
      <w:hyperlink r:id="rId8" w:history="1">
        <w:r w:rsidR="00B46061" w:rsidRPr="00926461">
          <w:rPr>
            <w:rFonts w:asciiTheme="minorHAnsi" w:hAnsiTheme="minorHAnsi" w:cstheme="minorHAnsi"/>
            <w:color w:val="000000"/>
          </w:rPr>
          <w:t>tameio@minoapediadas.gr</w:t>
        </w:r>
      </w:hyperlink>
    </w:p>
    <w:p w14:paraId="01022D87" w14:textId="77777777" w:rsidR="00AC362D" w:rsidRDefault="00AC362D" w:rsidP="00AC362D">
      <w:pPr>
        <w:pStyle w:val="Web"/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4B995288" w14:textId="77777777" w:rsidR="00AC362D" w:rsidRPr="00B04BBA" w:rsidRDefault="00AC362D" w:rsidP="00AC362D">
      <w:pPr>
        <w:pStyle w:val="Web"/>
        <w:shd w:val="clear" w:color="auto" w:fill="FFFFFF"/>
        <w:spacing w:before="240" w:beforeAutospacing="0" w:after="240" w:afterAutospacing="0" w:line="384" w:lineRule="atLeast"/>
        <w:jc w:val="center"/>
        <w:textAlignment w:val="baseline"/>
        <w:rPr>
          <w:rFonts w:asciiTheme="minorHAnsi" w:hAnsiTheme="minorHAnsi" w:cstheme="minorHAnsi"/>
          <w:b/>
          <w:color w:val="000000"/>
        </w:rPr>
      </w:pPr>
      <w:r w:rsidRPr="00AC362D">
        <w:rPr>
          <w:rFonts w:asciiTheme="minorHAnsi" w:hAnsiTheme="minorHAnsi" w:cstheme="minorHAnsi"/>
          <w:b/>
          <w:color w:val="000000"/>
        </w:rPr>
        <w:t>Εξωδικαστικ</w:t>
      </w:r>
      <w:r w:rsidRPr="00B04BBA">
        <w:rPr>
          <w:rFonts w:asciiTheme="minorHAnsi" w:hAnsiTheme="minorHAnsi" w:cstheme="minorHAnsi"/>
          <w:b/>
          <w:color w:val="000000"/>
        </w:rPr>
        <w:t xml:space="preserve">ός </w:t>
      </w:r>
      <w:r w:rsidR="00B04BBA" w:rsidRPr="00B04BBA">
        <w:rPr>
          <w:rFonts w:asciiTheme="minorHAnsi" w:hAnsiTheme="minorHAnsi" w:cstheme="minorHAnsi"/>
          <w:b/>
          <w:color w:val="000000"/>
        </w:rPr>
        <w:t xml:space="preserve">μηχανισμός </w:t>
      </w:r>
      <w:r w:rsidRPr="00AC362D">
        <w:rPr>
          <w:rFonts w:asciiTheme="minorHAnsi" w:hAnsiTheme="minorHAnsi" w:cstheme="minorHAnsi"/>
          <w:b/>
          <w:color w:val="000000"/>
        </w:rPr>
        <w:t>για οφειλές προς Δήμους</w:t>
      </w:r>
    </w:p>
    <w:p w14:paraId="540017FA" w14:textId="77777777" w:rsidR="00AC362D" w:rsidRPr="00AC362D" w:rsidRDefault="00AC362D" w:rsidP="00AC362D">
      <w:pPr>
        <w:pStyle w:val="Web"/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Επιπλέον, </w:t>
      </w:r>
      <w:r w:rsidR="007F15D4">
        <w:rPr>
          <w:rFonts w:asciiTheme="minorHAnsi" w:hAnsiTheme="minorHAnsi" w:cstheme="minorHAnsi"/>
          <w:color w:val="000000"/>
        </w:rPr>
        <w:t xml:space="preserve">δίνεται η δυνατότητα για ένταξη των οφειλών προς το Δήμο στον εξωδικαστικό συμβιβασμό, σύμφωνα </w:t>
      </w:r>
      <w:r>
        <w:rPr>
          <w:rFonts w:asciiTheme="minorHAnsi" w:hAnsiTheme="minorHAnsi" w:cstheme="minorHAnsi"/>
          <w:color w:val="000000"/>
        </w:rPr>
        <w:t>με το άρθρο 26 του Ν. 5143/2024</w:t>
      </w:r>
      <w:r w:rsidR="007F15D4">
        <w:rPr>
          <w:rFonts w:asciiTheme="minorHAnsi" w:hAnsiTheme="minorHAnsi" w:cstheme="minorHAnsi"/>
          <w:color w:val="000000"/>
        </w:rPr>
        <w:t>.</w:t>
      </w:r>
    </w:p>
    <w:p w14:paraId="22A4BEB1" w14:textId="77777777" w:rsidR="00AC362D" w:rsidRPr="00AC362D" w:rsidRDefault="00AC362D" w:rsidP="00AC362D">
      <w:pPr>
        <w:shd w:val="clear" w:color="auto" w:fill="FFFFFF"/>
        <w:spacing w:before="240" w:after="240" w:line="384" w:lineRule="atLeast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Συγκεκριμένα γ</w:t>
      </w:r>
      <w:r w:rsidRPr="00AC362D">
        <w:rPr>
          <w:rFonts w:asciiTheme="minorHAnsi" w:hAnsiTheme="minorHAnsi" w:cstheme="minorHAnsi"/>
          <w:color w:val="000000"/>
          <w:sz w:val="24"/>
          <w:szCs w:val="24"/>
        </w:rPr>
        <w:t>ια κάθε είδους οφειλές προς τους Δήμους και τα νομικά τους πρόσωπα, το ύψος των οποίων υπερβαίνει τις δέκα χιλιάδες (10.000) ευρώ, ο οφειλέτης δικαιούται να υπαχθεί, με αίτησή του, στον εξωδικαστικό μηχανισμό ρύθμισης οφειλών του ν. 4738/2020 (Α’ 207). Σε αυτήν την περίπτωση, το χρέος ως σύνολο απαιτήσεων (αρχικού οφειλόμενου ποσού, τυχόν προστίμων και προσαυξήσεων), βεβαιώνεται στην οικεία Δ.Ο.Υ. η οποία πλέον το διαχειρίζεται ως χρέος του Δημοσίου, ενεργώντας όλες τις πράξεις που ορίζονται στις ρυθμίσεις του ν. 4738/2020. Στις περιπτώσεις επιτυχούς προόδου του μηχανισμού και είσπραξης οφειλομένων, η Α.Α.Δ.Ε. παρακρατά ποσοστό πέντε τοις εκατό (5%) αυτών και αποδίδει τα υπόλοιπα εισπραχθέντα στον δικαιούχο, δήμο ή νομικό πρόσωπο εντός τριάντα (30) ημερών από την είσπραξή τους. Σε όλες τις άλλες περιπτώσεις, η Δ.Ο.Υ. ενεργεί σύμφωνα με τα οριζόμενα στο άρθρο 82 του Κώδικα Είσπραξης Δημοσίων Εσόδων (ν. 4978/2022, Α’ 190).</w:t>
      </w:r>
    </w:p>
    <w:p w14:paraId="25346338" w14:textId="77777777" w:rsidR="00AC362D" w:rsidRPr="00926461" w:rsidRDefault="00AC362D" w:rsidP="00AC362D">
      <w:pPr>
        <w:shd w:val="clear" w:color="auto" w:fill="FFFFFF"/>
        <w:spacing w:before="240" w:after="240" w:line="384" w:lineRule="atLeast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AC362D" w:rsidRPr="00926461" w:rsidSect="00B46061">
      <w:pgSz w:w="11906" w:h="16838"/>
      <w:pgMar w:top="142" w:right="141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77CDC"/>
    <w:multiLevelType w:val="hybridMultilevel"/>
    <w:tmpl w:val="A52E89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05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70"/>
    <w:rsid w:val="000559F0"/>
    <w:rsid w:val="000B3BED"/>
    <w:rsid w:val="001D1A53"/>
    <w:rsid w:val="00200D1F"/>
    <w:rsid w:val="0033484C"/>
    <w:rsid w:val="003E5009"/>
    <w:rsid w:val="00585383"/>
    <w:rsid w:val="00651FD6"/>
    <w:rsid w:val="00694000"/>
    <w:rsid w:val="006944A2"/>
    <w:rsid w:val="006D46A0"/>
    <w:rsid w:val="00727FF4"/>
    <w:rsid w:val="00732F0B"/>
    <w:rsid w:val="007F15D4"/>
    <w:rsid w:val="008A28C0"/>
    <w:rsid w:val="00926461"/>
    <w:rsid w:val="00926A54"/>
    <w:rsid w:val="009C3271"/>
    <w:rsid w:val="00A014E4"/>
    <w:rsid w:val="00A37923"/>
    <w:rsid w:val="00A57E56"/>
    <w:rsid w:val="00AB2970"/>
    <w:rsid w:val="00AC362D"/>
    <w:rsid w:val="00AD175C"/>
    <w:rsid w:val="00B04BBA"/>
    <w:rsid w:val="00B46061"/>
    <w:rsid w:val="00B82371"/>
    <w:rsid w:val="00BE6125"/>
    <w:rsid w:val="00C2796B"/>
    <w:rsid w:val="00DB1C9B"/>
    <w:rsid w:val="00DD2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C2FB"/>
  <w15:docId w15:val="{C156EB08-71BC-47D3-ABFA-C565B3D9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970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B29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Strong"/>
    <w:uiPriority w:val="22"/>
    <w:qFormat/>
    <w:rsid w:val="00AB297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D175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75C"/>
    <w:rPr>
      <w:rFonts w:ascii="Tahoma" w:eastAsia="Times New Roman" w:hAnsi="Tahoma" w:cs="Tahoma"/>
      <w:kern w:val="0"/>
      <w:sz w:val="16"/>
      <w:szCs w:val="16"/>
      <w:lang w:val="el-GR" w:eastAsia="el-GR"/>
    </w:rPr>
  </w:style>
  <w:style w:type="character" w:styleId="-">
    <w:name w:val="Hyperlink"/>
    <w:basedOn w:val="a0"/>
    <w:uiPriority w:val="99"/>
    <w:unhideWhenUsed/>
    <w:rsid w:val="00A014E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D46A0"/>
    <w:pPr>
      <w:ind w:left="720"/>
      <w:contextualSpacing/>
    </w:pPr>
  </w:style>
  <w:style w:type="character" w:customStyle="1" w:styleId="vjs-control-text">
    <w:name w:val="vjs-control-text"/>
    <w:basedOn w:val="a0"/>
    <w:rsid w:val="00694000"/>
  </w:style>
  <w:style w:type="character" w:customStyle="1" w:styleId="vjs-remaining-time-display">
    <w:name w:val="vjs-remaining-time-display"/>
    <w:basedOn w:val="a0"/>
    <w:rsid w:val="00694000"/>
  </w:style>
  <w:style w:type="character" w:styleId="-0">
    <w:name w:val="FollowedHyperlink"/>
    <w:basedOn w:val="a0"/>
    <w:uiPriority w:val="99"/>
    <w:semiHidden/>
    <w:unhideWhenUsed/>
    <w:rsid w:val="008A28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eio@minoapediadas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gr/ipiresies/periousia-kai-phorologia/diakheirise-opheilon/bebaiose-eualotou-opheile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oapediadas.gr/cat-process/tameio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 ΚΕΣΙΣΟΓΛΟΥ</dc:creator>
  <cp:lastModifiedBy>user</cp:lastModifiedBy>
  <cp:revision>2</cp:revision>
  <dcterms:created xsi:type="dcterms:W3CDTF">2024-10-21T08:31:00Z</dcterms:created>
  <dcterms:modified xsi:type="dcterms:W3CDTF">2024-10-21T08:31:00Z</dcterms:modified>
</cp:coreProperties>
</file>